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B553E" w:rsidRPr="003B553E" w:rsidRDefault="003B553E" w:rsidP="00D80B36">
      <w:pPr>
        <w:shd w:val="clear" w:color="auto" w:fill="FFFFFF"/>
        <w:spacing w:after="0" w:line="240" w:lineRule="auto"/>
        <w:jc w:val="both"/>
        <w:textAlignment w:val="baseline"/>
        <w:outlineLvl w:val="0"/>
        <w:rPr>
          <w:rFonts w:eastAsia="Times New Roman" w:cs="Times New Roman"/>
          <w:b/>
          <w:bCs/>
          <w:kern w:val="36"/>
          <w:sz w:val="28"/>
          <w:szCs w:val="28"/>
        </w:rPr>
      </w:pPr>
      <w:r w:rsidRPr="003B553E">
        <w:rPr>
          <w:rFonts w:eastAsia="Times New Roman" w:cs="Times New Roman"/>
          <w:b/>
          <w:bCs/>
          <w:kern w:val="36"/>
          <w:sz w:val="28"/>
          <w:szCs w:val="28"/>
        </w:rPr>
        <w:t>Quy định mới về đăng ký khám bệnh, chữa bệnh bảo hiểm y tế đối với quân nhân và thân nhân, cán bộ Quân đội nghỉ hưu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Bộ trưởng Bộ Quốc phòng vừa ký ban hành Thông tư số 21/2025/TT-BQP quy định về xếp cấp chuyên môn kỹ thuật; đánh giá, chứng nhận chất lượng cơ sở khám bệnh, chữa bệnh; đăng ký và chuyển người bệnh giữa các cơ sở khám bệnh, chữa bệnh thuộc Bộ Quốc phòng. Một trong những nội dung đáng chú ý của Thông tư này là quy định về đăng ký khám bệnh, chữa bệnh bảo hiểm y tế đối với quân nhân, thân nhân quân nhân, người công tác trong Quân đội nghỉ hưu...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b/>
          <w:bCs/>
          <w:sz w:val="28"/>
          <w:szCs w:val="28"/>
          <w:bdr w:val="none" w:sz="0" w:space="0" w:color="auto" w:frame="1"/>
        </w:rPr>
        <w:t>Phạm vi điều chỉnh và đối tượng áp dụng</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 xml:space="preserve">Thông tư số 21/2025/TT-BQP quy định về </w:t>
      </w:r>
      <w:bookmarkStart w:id="0" w:name="_GoBack"/>
      <w:bookmarkEnd w:id="0"/>
      <w:r w:rsidRPr="003B553E">
        <w:rPr>
          <w:rFonts w:eastAsia="Times New Roman" w:cs="Times New Roman"/>
          <w:sz w:val="28"/>
          <w:szCs w:val="28"/>
        </w:rPr>
        <w:t>xếp cấp, chỉ đạo, hỗ trợ chuyên môn kỹ thuật; danh mục kỹ thuật; đánh giá chất lượng cơ sở khám bệnh, chữa bệnh; đăng ký khám bệnh, chữa bệnh </w:t>
      </w:r>
      <w:hyperlink r:id="rId4" w:history="1">
        <w:r w:rsidRPr="003B553E">
          <w:rPr>
            <w:rFonts w:eastAsia="Times New Roman" w:cs="Times New Roman"/>
            <w:sz w:val="28"/>
            <w:szCs w:val="28"/>
            <w:u w:val="single"/>
            <w:bdr w:val="none" w:sz="0" w:space="0" w:color="auto" w:frame="1"/>
          </w:rPr>
          <w:t>bảo hiểm y tế</w:t>
        </w:r>
      </w:hyperlink>
      <w:r w:rsidRPr="003B553E">
        <w:rPr>
          <w:rFonts w:eastAsia="Times New Roman" w:cs="Times New Roman"/>
          <w:sz w:val="28"/>
          <w:szCs w:val="28"/>
        </w:rPr>
        <w:t> và chuyển người bệnh giữa các cơ sở khám bệnh, chữa bệnh thuộc Bộ Quốc phòng.</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Đối tượng áp dụng được quy định tại Điều 2 Thông tư này, gồm:</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1. Các cơ sở khám bệnh, chữa bệnh thuộc Bộ Quốc phòng. </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2. Sĩ quan, quân nhân chuyên nghiệp, hạ sĩ quan, binh sĩ tại ngũ; học viên Quân đội, học viên cơ yếu hưởng sinh hoạt phí là người Việt Nam và người nước ngoài.</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3. Người làm công tác cơ yếu hưởng lương như đối với quân nhân đang công tác tại Ban Cơ yếu Chính phủ; học viên cơ yếu hưởng sinh hoạt phí từ ngân sách nhà nước theo chế độ, chính sách như đối với học viên Quân đội.</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4. Học viên đào tạo sĩ quan dự bị từ 3 tháng trở lên chưa tham gia bảo hiểm xã hội, bảo hiểm y tế; công nhân, viên chức quốc phòng đang phục vụ trong Quân đội khi đi khám bệnh, chữa bệnh.</w:t>
      </w:r>
    </w:p>
    <w:p w:rsid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5. Thân nhân của các đối tượng quy định tại khoản 2, 3 và 4 Điều này, trừ thân nhân của học viên Quân đội, học viên cơ yếu hưởng sinh hoạt phí là người nước ngoài và học viên đào tạo sĩ quan dự bị từ 3 tháng trở lên.</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b/>
          <w:bCs/>
          <w:i/>
          <w:iCs/>
          <w:sz w:val="28"/>
          <w:szCs w:val="28"/>
        </w:rPr>
      </w:pPr>
      <w:r w:rsidRPr="003B553E">
        <w:rPr>
          <w:rFonts w:eastAsia="Times New Roman" w:cs="Times New Roman"/>
          <w:b/>
          <w:bCs/>
          <w:i/>
          <w:iCs/>
          <w:sz w:val="28"/>
          <w:szCs w:val="28"/>
        </w:rPr>
        <w:t>Các bác sĩ Bệnh viện Quân y 103, Học viện Quân y lấy, ghép thận cho bệnh nhân chẩn đoán bệnh thận mạn giai đoạn 5, lọc máu chu kỳ, nhóm máu A. Ảnh: qdnd.vn</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b/>
          <w:bCs/>
          <w:sz w:val="28"/>
          <w:szCs w:val="28"/>
          <w:bdr w:val="none" w:sz="0" w:space="0" w:color="auto" w:frame="1"/>
        </w:rPr>
        <w:t>Quy định về đăng ký khám bệnh, chữa bệnh bảo hiểm y tế</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Điều 11 Thông tư số 21/2025/TT-BQP quy định nội dung này. Cụ thể như sau: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b/>
          <w:bCs/>
          <w:sz w:val="28"/>
          <w:szCs w:val="28"/>
          <w:bdr w:val="none" w:sz="0" w:space="0" w:color="auto" w:frame="1"/>
        </w:rPr>
        <w:t>1. Nguyên tắc đăng ký khám bệnh, chữa bệnh</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a) Phù hợp với hệ thống cơ sở khám bệnh, chữa bệnh thuộc Bộ Quốc phòng;</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b) Người tham gia bảo hiểm y tế quy định tại khoản 2, khoản 3 và khoản 4 Điều 2 Thông tư này tùy theo đối tượng được đăng ký khám bệnh, chữa bệnh bảo hiểm y tế ban đầu tại các cơ sở khám bệnh, chữa bệnh thuộc Bộ Quốc phòng và cơ sở </w:t>
      </w:r>
      <w:hyperlink r:id="rId5" w:history="1">
        <w:r w:rsidRPr="003B553E">
          <w:rPr>
            <w:rFonts w:eastAsia="Times New Roman" w:cs="Times New Roman"/>
            <w:sz w:val="28"/>
            <w:szCs w:val="28"/>
            <w:u w:val="single"/>
            <w:bdr w:val="none" w:sz="0" w:space="0" w:color="auto" w:frame="1"/>
          </w:rPr>
          <w:t>khám bệnh, chữa bệnh</w:t>
        </w:r>
      </w:hyperlink>
      <w:r w:rsidRPr="003B553E">
        <w:rPr>
          <w:rFonts w:eastAsia="Times New Roman" w:cs="Times New Roman"/>
          <w:sz w:val="28"/>
          <w:szCs w:val="28"/>
        </w:rPr>
        <w:t> khác theo quy định của Bộ trưởng Bộ Y tế; </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c) Việc đăng ký khám bệnh, chữa bệnh bảo hiểm y tế ban đầu tại các cơ sở khám bệnh, chữa bệnh bảo đảm thuận lợi vị trí đơn vị đóng quân, nơi cư trú của người tham gia bảo hiểm y tế; bảo đảm công tác quản lý quân số và phân cấp nhiệm vụ quản lý sức khỏe;</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lastRenderedPageBreak/>
        <w:t>d) Quân y đơn vị có trách nhiệm tham mưu với thủ trưởng đơn vị hướng dẫn đăng ký khám bệnh, chữa bệnh bảo hiểm y tế ban đầu đảm bảo đúng nguyên tắc.</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b/>
          <w:bCs/>
          <w:sz w:val="28"/>
          <w:szCs w:val="28"/>
          <w:bdr w:val="none" w:sz="0" w:space="0" w:color="auto" w:frame="1"/>
        </w:rPr>
        <w:t>2. Đăng ký khám bệnh, chữa bệnh bảo hiểm y tế ban đầu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a) Người tham gia bảo hiểm y tế thuộc tất cả các đối tượng được lựa chọn một trong các cơ sở khám bệnh, chữa bệnh quy định tại khoản 1 Điều 2 Thông tư này thuộc cấp khám bệnh, chữa bệnh ban đầu để đăng ký khám bệnh, chữa bệnh bảo hiểm y tế ban đầu;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b) Các đối tượng hạ sĩ quan, binh sĩ, học viên cơ yếu hưởng sinh hoạt phí được đăng ký khám bệnh, chữa bệnh bảo hiểm y tế ban đầu tại các cơ sở khám bệnh, chữa bệnh quy định tại khoản 1 Điều 2 Thông tư này khi vị trí đơn vị đóng quân và cơ sở khám bệnh, chữa bệnh nằm cùng địa bàn quận, huyện, thị xã, thành phố thuộc tỉnh hoặc thuộc vùng giáp ranh và được sự chấp thuận (bằng văn bản) của chỉ huy đơn vị cấp trung đoàn và tương đương trở lên;</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c) Cán bộ cấp trung tá hoặc có mức lương tương đương trở xuống được đăng ký khám bệnh, chữa bệnh bảo hiểm y tế ban đầu tại các cơ sở khám bệnh, chữa  bệnh cấp cơ bản; trường hợp đăng ký khám bệnh, chữa bệnh bảo hiểm y tế ban đầu tại cấp chuyên sâu khi được sự chấp thuận (bằng văn bản) của chỉ huy đơn vị cấp trung đoàn và tương đương trở lên, phù hợp với địa bàn đơn vị đóng quân hoặc nơi cư trú của người tham gia bảo hiểm y tế;</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d) Cán bộ cấp thượng tá hoặc có mức lương tương đương trở lên được đăng ký khám bệnh, chữa bệnh bảo hiểm y tế ban đầu tại các cơ sở khám bệnh, chữa bệnh cấp cơ bản, cấp chuyên sâu phù hợp với địa bàn đơn vị đóng quân hoặc nơi cư trú của người tham gia bảo hiểm y tế;</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đ) Các đối tượng thuộc diện được quản lý, bảo vệ sức khỏe theo Hướng dẫn số 52-HD/BTCTW ngày 2-12-2005 của </w:t>
      </w:r>
      <w:hyperlink r:id="rId6" w:history="1">
        <w:r w:rsidRPr="003B553E">
          <w:rPr>
            <w:rFonts w:eastAsia="Times New Roman" w:cs="Times New Roman"/>
            <w:sz w:val="28"/>
            <w:szCs w:val="28"/>
            <w:u w:val="single"/>
            <w:bdr w:val="none" w:sz="0" w:space="0" w:color="auto" w:frame="1"/>
          </w:rPr>
          <w:t>Ban Tổ chức Trung ương Đảng</w:t>
        </w:r>
      </w:hyperlink>
      <w:r w:rsidRPr="003B553E">
        <w:rPr>
          <w:rFonts w:eastAsia="Times New Roman" w:cs="Times New Roman"/>
          <w:sz w:val="28"/>
          <w:szCs w:val="28"/>
        </w:rPr>
        <w:t> về việc điều chỉnh, bổ sung đối tượng khám, chữa bệnh tại một số cơ sở y tế của Trung ương được đăng ký khám bệnh, chữa bệnh bảo hiểm y tế ban đầu tại các cơ sở khám bệnh, chữa bệnh cấp cơ bản, cấp chuyên sâu phù hợp với địa bàn cơ quan, đơn vị nơi làm việc hoặc nơi cư trú của người tham gia bảo hiểm y tế và các quy định khác của Bộ Y tế;</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e) Người công tác trong Quân đội nghỉ hưu khi đăng ký khám bệnh, chữa bệnh bảo hiểm y tế ban đầu tại các cơ sở khám bệnh, chữa bệnh quy định tại khoản 1 Điều 2 Thông tư này thì thực hiện theo điểm c và điểm d khoản 2 Điều này phù hợp với cấp bậc quân hàm hoặc mức lương tương đương tại thời điểm nghỉ hưu và nơi cư trú của người tham gia bảo hiểm y tế;</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g) Sĩ quan, quân nhân chuyên nghiệp, hạ sĩ quan, binh sĩ tại ngũ; học viên Quân đội là người nước ngoài đăng ký khám bệnh, chữa bệnh bảo hiểm y tế ban đầu tại các cơ sở khám bệnh, chữa bệnh quy định tại khoản 1 Điều 2 Thông tư này được khám bệnh, chữa bệnh bảo hiểm y tế tại các cơ sở khám bệnh, chữa bệnh quy định tại khoản 1 Điều 2 Thông tư này khi xuất trình thẻ bảo hiểm y tế, giấy giới thiệu của đơn vị từ cấp trung đoàn và tương đương trở lên, được hưởng quyền lợi khám bệnh, chữa bệnh bảo hiểm y tế như nơi đăng ký khám bệnh, chữa bệnh bảo hiểm y tế ban đầu;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lastRenderedPageBreak/>
        <w:t>h) Các đối tượng quy định tại khoản 5 Điều 2 Thông tư này được đăng ký khám bệnh, chữa bệnh bảo hiểm y tế ban đầu tại các cơ sở khám bệnh, chữa bệnh quy định tại khoản 1 Điều 2 Thông tư này gần nơi cư trú và phù hợp với khả năng đáp ứng của cơ sở khám bệnh, chữa bệnh.</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b/>
          <w:bCs/>
          <w:sz w:val="28"/>
          <w:szCs w:val="28"/>
          <w:bdr w:val="none" w:sz="0" w:space="0" w:color="auto" w:frame="1"/>
        </w:rPr>
        <w:t>3. Thay đổi nơi đăng ký ban đầu</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a) Người tham gia bảo hiểm y tế được thay đổi nơi đăng ký khám bệnh, chữa bệnh bảo hiểm y tế ban đầu vào 15 ngày đầu mỗi quý;</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b) Cơ quan bảo hiểm xã hội thực hiện thay đổi nơi đăng ký khám bệnh, chữa bệnh bảo hiểm y tế ban đầu của người tham gia bảo hiểm y tế trên thẻ bảo hiểm y tế bản giấy hoặc trên cơ sở dữ liệu thẻ bảo hiểm y tế.</w:t>
      </w:r>
    </w:p>
    <w:p w:rsidR="003B553E" w:rsidRPr="003B553E" w:rsidRDefault="003B553E" w:rsidP="003B553E">
      <w:pPr>
        <w:shd w:val="clear" w:color="auto" w:fill="FFFFFF"/>
        <w:spacing w:after="0" w:line="240" w:lineRule="auto"/>
        <w:ind w:firstLine="567"/>
        <w:jc w:val="both"/>
        <w:textAlignment w:val="baseline"/>
        <w:rPr>
          <w:rFonts w:eastAsia="Times New Roman" w:cs="Times New Roman"/>
          <w:sz w:val="28"/>
          <w:szCs w:val="28"/>
        </w:rPr>
      </w:pPr>
      <w:r w:rsidRPr="003B553E">
        <w:rPr>
          <w:rFonts w:eastAsia="Times New Roman" w:cs="Times New Roman"/>
          <w:sz w:val="28"/>
          <w:szCs w:val="28"/>
        </w:rPr>
        <w:t>Thông tư số 21/2025/TT-BQP có hiệu lực kể từ ngày 29-5-2025 và thay thế Thông tư số 46/2016/TT-BQP ngày 1-4-2016 của </w:t>
      </w:r>
      <w:hyperlink r:id="rId7" w:history="1">
        <w:r w:rsidRPr="003B553E">
          <w:rPr>
            <w:rFonts w:eastAsia="Times New Roman" w:cs="Times New Roman"/>
            <w:sz w:val="28"/>
            <w:szCs w:val="28"/>
            <w:u w:val="single"/>
            <w:bdr w:val="none" w:sz="0" w:space="0" w:color="auto" w:frame="1"/>
          </w:rPr>
          <w:t>Bộ trưởng Bộ Quốc phòng</w:t>
        </w:r>
      </w:hyperlink>
      <w:r w:rsidRPr="003B553E">
        <w:rPr>
          <w:rFonts w:eastAsia="Times New Roman" w:cs="Times New Roman"/>
          <w:sz w:val="28"/>
          <w:szCs w:val="28"/>
        </w:rPr>
        <w:t> quy định tuyến chuyên môn kỹ thuật khám bệnh, chữa bệnh đối với các đối tượng thuộc Bộ Quốc phòng quản lý.</w:t>
      </w:r>
    </w:p>
    <w:p w:rsidR="000F4477" w:rsidRPr="003B553E" w:rsidRDefault="000F4477" w:rsidP="003B553E">
      <w:pPr>
        <w:spacing w:after="0" w:line="240" w:lineRule="auto"/>
        <w:ind w:firstLine="567"/>
        <w:rPr>
          <w:rFonts w:cs="Times New Roman"/>
          <w:sz w:val="28"/>
          <w:szCs w:val="28"/>
        </w:rPr>
      </w:pPr>
    </w:p>
    <w:sectPr w:rsidR="000F4477" w:rsidRPr="003B553E" w:rsidSect="00330D27">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53E"/>
    <w:rsid w:val="000F4477"/>
    <w:rsid w:val="00330D27"/>
    <w:rsid w:val="003B553E"/>
    <w:rsid w:val="008A63AB"/>
    <w:rsid w:val="00D80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62B21"/>
  <w15:chartTrackingRefBased/>
  <w15:docId w15:val="{B92628EC-5356-4D44-A89C-8C95E762A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553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53E"/>
    <w:rPr>
      <w:rFonts w:eastAsia="Times New Roman" w:cs="Times New Roman"/>
      <w:b/>
      <w:bCs/>
      <w:kern w:val="36"/>
      <w:sz w:val="48"/>
      <w:szCs w:val="48"/>
    </w:rPr>
  </w:style>
  <w:style w:type="paragraph" w:customStyle="1" w:styleId="logo-online">
    <w:name w:val="logo-online"/>
    <w:basedOn w:val="Normal"/>
    <w:rsid w:val="003B553E"/>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3B553E"/>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B553E"/>
    <w:rPr>
      <w:b/>
      <w:bCs/>
    </w:rPr>
  </w:style>
  <w:style w:type="character" w:styleId="Hyperlink">
    <w:name w:val="Hyperlink"/>
    <w:basedOn w:val="DefaultParagraphFont"/>
    <w:uiPriority w:val="99"/>
    <w:semiHidden/>
    <w:unhideWhenUsed/>
    <w:rsid w:val="003B55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8329214">
      <w:bodyDiv w:val="1"/>
      <w:marLeft w:val="0"/>
      <w:marRight w:val="0"/>
      <w:marTop w:val="0"/>
      <w:marBottom w:val="0"/>
      <w:divBdr>
        <w:top w:val="none" w:sz="0" w:space="0" w:color="auto"/>
        <w:left w:val="none" w:sz="0" w:space="0" w:color="auto"/>
        <w:bottom w:val="none" w:sz="0" w:space="0" w:color="auto"/>
        <w:right w:val="none" w:sz="0" w:space="0" w:color="auto"/>
      </w:divBdr>
      <w:divsChild>
        <w:div w:id="1895970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qdnd.vn/tag/bo-truong-bo-quoc-phong-249.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dnd.vn/tag/ban-to-chuc-trung-uong-639.html" TargetMode="External"/><Relationship Id="rId5" Type="http://schemas.openxmlformats.org/officeDocument/2006/relationships/hyperlink" Target="https://www.qdnd.vn/tag/cuc-quan-ly-kham-chua-benh-152.html" TargetMode="External"/><Relationship Id="rId4" Type="http://schemas.openxmlformats.org/officeDocument/2006/relationships/hyperlink" Target="https://www.qdnd.vn/tag/bao-hiem-y-te-877.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2</cp:revision>
  <dcterms:created xsi:type="dcterms:W3CDTF">2025-04-17T08:10:00Z</dcterms:created>
  <dcterms:modified xsi:type="dcterms:W3CDTF">2025-04-17T08:23:00Z</dcterms:modified>
</cp:coreProperties>
</file>